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4" w:firstLineChars="101"/>
        <w:rPr>
          <w:rFonts w:ascii="黑体" w:hAnsi="Times New Roman" w:eastAsia="黑体" w:cs="Times New Roman"/>
          <w:b/>
          <w:bCs/>
          <w:spacing w:val="-20"/>
          <w:sz w:val="32"/>
          <w:szCs w:val="32"/>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山东省一流本科专业建设点</w:t>
      </w:r>
    </w:p>
    <w:p>
      <w:pPr>
        <w:ind w:left="-359" w:leftChars="-171" w:firstLine="525" w:firstLineChars="101"/>
        <w:jc w:val="center"/>
        <w:rPr>
          <w:rFonts w:ascii="黑体" w:hAnsi="黑体" w:eastAsia="黑体" w:cs="Times New Roman"/>
          <w:bCs/>
          <w:sz w:val="52"/>
          <w:szCs w:val="52"/>
        </w:rPr>
      </w:pPr>
      <w:bookmarkStart w:id="1" w:name="_GoBack"/>
      <w:r>
        <w:rPr>
          <w:rFonts w:hint="eastAsia" w:ascii="黑体" w:hAnsi="黑体" w:eastAsia="黑体" w:cs="Times New Roman"/>
          <w:bCs/>
          <w:sz w:val="52"/>
          <w:szCs w:val="52"/>
        </w:rPr>
        <w:t>信息采集表</w:t>
      </w:r>
    </w:p>
    <w:bookmarkEnd w:id="1"/>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2.专业</w:t>
      </w:r>
      <w:r>
        <w:rPr>
          <w:rFonts w:ascii="仿宋" w:hAnsi="仿宋" w:eastAsia="仿宋" w:cs="Times New Roman"/>
          <w:sz w:val="32"/>
          <w:szCs w:val="32"/>
        </w:rPr>
        <w:t>人才培养方案作为附件提交。</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spacing w:line="440" w:lineRule="exact"/>
        <w:rPr>
          <w:rFonts w:ascii="Arial" w:hAnsi="Arial" w:eastAsia="楷体_GB2312" w:cs="Times New Roman"/>
          <w:sz w:val="36"/>
          <w:szCs w:val="24"/>
        </w:rPr>
      </w:pPr>
      <w:r>
        <w:rPr>
          <w:rFonts w:ascii="宋体" w:hAnsi="宋体" w:eastAsia="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w:t>
      </w:r>
      <w:r>
        <w:rPr>
          <w:rFonts w:hint="eastAsia" w:ascii="仿宋" w:hAnsi="仿宋" w:eastAsia="仿宋" w:cs="Times New Roman"/>
          <w:sz w:val="24"/>
          <w:szCs w:val="24"/>
          <w:lang w:val="en-US" w:eastAsia="zh-CN"/>
        </w:rPr>
        <w:t>9</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lang w:val="en-US" w:eastAsia="zh-CN"/>
        </w:rPr>
        <w:t>20</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2"/>
        <w:tblW w:w="8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553"/>
        <w:gridCol w:w="1277"/>
        <w:gridCol w:w="707"/>
        <w:gridCol w:w="1701"/>
        <w:gridCol w:w="707"/>
        <w:gridCol w:w="785"/>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53" w:type="dxa"/>
            <w:vMerge w:val="restart"/>
            <w:vAlign w:val="center"/>
          </w:tcPr>
          <w:p>
            <w:pPr>
              <w:jc w:val="center"/>
              <w:rPr>
                <w:rFonts w:ascii="Times New Roman" w:hAnsi="Times New Roman" w:eastAsia="仿宋_GB2312" w:cs="Times New Roman"/>
                <w:sz w:val="24"/>
                <w:szCs w:val="24"/>
              </w:rPr>
            </w:pPr>
          </w:p>
        </w:tc>
        <w:tc>
          <w:tcPr>
            <w:tcW w:w="12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07" w:type="dxa"/>
            <w:vAlign w:val="center"/>
          </w:tcPr>
          <w:p>
            <w:pPr>
              <w:jc w:val="center"/>
              <w:rPr>
                <w:rFonts w:ascii="Times New Roman" w:hAnsi="Times New Roman" w:eastAsia="仿宋_GB2312" w:cs="Times New Roman"/>
                <w:sz w:val="24"/>
                <w:szCs w:val="24"/>
              </w:rPr>
            </w:pPr>
          </w:p>
        </w:tc>
        <w:tc>
          <w:tcPr>
            <w:tcW w:w="170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07"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783"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3" w:type="dxa"/>
            <w:vMerge w:val="continue"/>
            <w:vAlign w:val="center"/>
          </w:tcPr>
          <w:p>
            <w:pPr>
              <w:jc w:val="center"/>
              <w:rPr>
                <w:rFonts w:ascii="Times New Roman" w:hAnsi="Times New Roman" w:eastAsia="仿宋_GB2312" w:cs="Times New Roman"/>
                <w:sz w:val="24"/>
                <w:szCs w:val="24"/>
              </w:rPr>
            </w:pPr>
          </w:p>
        </w:tc>
        <w:tc>
          <w:tcPr>
            <w:tcW w:w="1553" w:type="dxa"/>
            <w:vMerge w:val="continue"/>
            <w:vAlign w:val="center"/>
          </w:tcPr>
          <w:p>
            <w:pPr>
              <w:jc w:val="center"/>
              <w:rPr>
                <w:rFonts w:ascii="Times New Roman" w:hAnsi="Times New Roman" w:eastAsia="仿宋_GB2312" w:cs="Times New Roman"/>
                <w:sz w:val="24"/>
                <w:szCs w:val="24"/>
              </w:rPr>
            </w:pPr>
          </w:p>
        </w:tc>
        <w:tc>
          <w:tcPr>
            <w:tcW w:w="12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07" w:type="dxa"/>
            <w:vAlign w:val="center"/>
          </w:tcPr>
          <w:p>
            <w:pPr>
              <w:jc w:val="center"/>
              <w:rPr>
                <w:rFonts w:ascii="Times New Roman" w:hAnsi="Times New Roman" w:eastAsia="仿宋_GB2312" w:cs="Times New Roman"/>
                <w:sz w:val="24"/>
                <w:szCs w:val="24"/>
              </w:rPr>
            </w:pPr>
          </w:p>
        </w:tc>
        <w:tc>
          <w:tcPr>
            <w:tcW w:w="170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07"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783"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2266"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5960"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b/>
          <w:kern w:val="0"/>
          <w:sz w:val="32"/>
          <w:szCs w:val="32"/>
        </w:rPr>
      </w:pPr>
      <w:r>
        <w:rPr>
          <w:rFonts w:hint="eastAsia" w:ascii="楷体" w:hAnsi="楷体" w:eastAsia="楷体"/>
          <w:b/>
          <w:kern w:val="0"/>
          <w:sz w:val="32"/>
          <w:szCs w:val="32"/>
        </w:rPr>
        <w:t>3.近</w:t>
      </w:r>
      <w:r>
        <w:rPr>
          <w:rFonts w:ascii="楷体" w:hAnsi="楷体" w:eastAsia="楷体"/>
          <w:b/>
          <w:kern w:val="0"/>
          <w:sz w:val="32"/>
          <w:szCs w:val="32"/>
        </w:rPr>
        <w:t>3</w:t>
      </w:r>
      <w:r>
        <w:rPr>
          <w:rFonts w:hint="eastAsia" w:ascii="楷体" w:hAnsi="楷体" w:eastAsia="楷体"/>
          <w:b/>
          <w:kern w:val="0"/>
          <w:sz w:val="32"/>
          <w:szCs w:val="32"/>
        </w:rPr>
        <w:t>年本专业毕业生就业（升学）情况</w:t>
      </w:r>
    </w:p>
    <w:tbl>
      <w:tblPr>
        <w:tblStyle w:val="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84"/>
        <w:gridCol w:w="1541"/>
        <w:gridCol w:w="1541"/>
        <w:gridCol w:w="1284"/>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284"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41"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41"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284"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57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年</w:t>
            </w: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vAlign w:val="center"/>
          </w:tcPr>
          <w:p>
            <w:pPr>
              <w:jc w:val="center"/>
              <w:rPr>
                <w:rFonts w:ascii="Times New Roman" w:hAnsi="Times New Roman" w:eastAsia="仿宋_GB2312" w:cs="Times New Roman"/>
                <w:sz w:val="24"/>
                <w:szCs w:val="24"/>
              </w:rPr>
            </w:pP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rPr>
              <w:t>年</w:t>
            </w: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vAlign w:val="center"/>
          </w:tcPr>
          <w:p>
            <w:pPr>
              <w:jc w:val="center"/>
              <w:rPr>
                <w:rFonts w:ascii="Times New Roman" w:hAnsi="Times New Roman" w:eastAsia="仿宋_GB2312" w:cs="Times New Roman"/>
                <w:sz w:val="24"/>
                <w:szCs w:val="24"/>
              </w:rPr>
            </w:pP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年</w:t>
            </w: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vAlign w:val="center"/>
          </w:tcPr>
          <w:p>
            <w:pPr>
              <w:jc w:val="center"/>
              <w:rPr>
                <w:rFonts w:ascii="Times New Roman" w:hAnsi="Times New Roman" w:eastAsia="仿宋_GB2312" w:cs="Times New Roman"/>
                <w:sz w:val="24"/>
                <w:szCs w:val="24"/>
              </w:rPr>
            </w:pP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b/>
          <w:kern w:val="0"/>
          <w:sz w:val="32"/>
          <w:szCs w:val="32"/>
        </w:rPr>
        <w:t>4.</w:t>
      </w:r>
      <w:r>
        <w:rPr>
          <w:rFonts w:hint="eastAsia" w:ascii="楷体" w:hAnsi="楷体" w:eastAsia="楷体"/>
          <w:b/>
          <w:kern w:val="0"/>
          <w:sz w:val="32"/>
          <w:szCs w:val="32"/>
        </w:rPr>
        <w:t>近</w:t>
      </w:r>
      <w:r>
        <w:rPr>
          <w:rFonts w:ascii="楷体" w:hAnsi="楷体" w:eastAsia="楷体"/>
          <w:b/>
          <w:kern w:val="0"/>
          <w:sz w:val="32"/>
          <w:szCs w:val="32"/>
        </w:rPr>
        <w:t>3</w:t>
      </w:r>
      <w:r>
        <w:rPr>
          <w:rFonts w:hint="eastAsia" w:ascii="楷体" w:hAnsi="楷体" w:eastAsia="楷体"/>
          <w:b/>
          <w:kern w:val="0"/>
          <w:sz w:val="32"/>
          <w:szCs w:val="32"/>
        </w:rPr>
        <w:t>年本专业</w:t>
      </w:r>
      <w:r>
        <w:rPr>
          <w:rFonts w:hint="eastAsia" w:ascii="楷体" w:hAnsi="楷体" w:eastAsia="楷体" w:cs="Times New Roman"/>
          <w:b/>
          <w:sz w:val="32"/>
          <w:szCs w:val="32"/>
        </w:rPr>
        <w:t>获省部级及以上奖励和支持情况</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b/>
          <w:kern w:val="0"/>
          <w:sz w:val="32"/>
          <w:szCs w:val="32"/>
        </w:rPr>
      </w:pPr>
      <w:r>
        <w:rPr>
          <w:rFonts w:ascii="Times New Roman" w:hAnsi="Times New Roman" w:eastAsia="宋体" w:cs="Times New Roman"/>
          <w:szCs w:val="24"/>
        </w:rPr>
        <w:br w:type="page"/>
      </w:r>
      <w:r>
        <w:rPr>
          <w:rFonts w:hint="eastAsia" w:ascii="楷体" w:hAnsi="楷体" w:eastAsia="楷体"/>
          <w:b/>
          <w:kern w:val="0"/>
          <w:sz w:val="32"/>
          <w:szCs w:val="32"/>
        </w:rPr>
        <w:t>5</w:t>
      </w:r>
      <w:r>
        <w:rPr>
          <w:rFonts w:ascii="楷体" w:hAnsi="楷体" w:eastAsia="楷体"/>
          <w:b/>
          <w:kern w:val="0"/>
          <w:sz w:val="32"/>
          <w:szCs w:val="32"/>
        </w:rPr>
        <w:t>.专业定位</w:t>
      </w:r>
      <w:r>
        <w:rPr>
          <w:rFonts w:hint="eastAsia" w:ascii="楷体" w:hAnsi="楷体" w:eastAsia="楷体"/>
          <w:b/>
          <w:kern w:val="0"/>
          <w:sz w:val="32"/>
          <w:szCs w:val="32"/>
        </w:rPr>
        <w:t>、</w:t>
      </w:r>
      <w:r>
        <w:rPr>
          <w:rFonts w:ascii="楷体" w:hAnsi="楷体" w:eastAsia="楷体"/>
          <w:b/>
          <w:kern w:val="0"/>
          <w:sz w:val="32"/>
          <w:szCs w:val="32"/>
        </w:rPr>
        <w:t>历史沿革和特色优势</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rPr>
            </w:pPr>
            <w:r>
              <w:rPr>
                <w:rFonts w:hint="eastAsia" w:ascii="仿宋" w:hAnsi="仿宋" w:eastAsia="仿宋" w:cs="Times New Roman"/>
                <w:bCs/>
              </w:rPr>
              <w:t>（限</w:t>
            </w:r>
            <w:r>
              <w:rPr>
                <w:rFonts w:ascii="仿宋" w:hAnsi="仿宋" w:eastAsia="仿宋" w:cs="Times New Roman"/>
                <w:bCs/>
              </w:rPr>
              <w:t>500字以内</w:t>
            </w:r>
            <w:r>
              <w:rPr>
                <w:rFonts w:hint="eastAsia" w:ascii="仿宋" w:hAnsi="仿宋" w:eastAsia="仿宋" w:cs="Times New Roman"/>
                <w:bCs/>
              </w:rPr>
              <w:t>）</w:t>
            </w:r>
          </w:p>
        </w:tc>
      </w:tr>
    </w:tbl>
    <w:p>
      <w:pPr>
        <w:widowControl/>
        <w:jc w:val="left"/>
        <w:rPr>
          <w:rFonts w:ascii="楷体" w:hAnsi="楷体" w:eastAsia="楷体"/>
          <w:b/>
          <w:kern w:val="0"/>
          <w:sz w:val="32"/>
          <w:szCs w:val="32"/>
        </w:rPr>
      </w:pPr>
      <w:r>
        <w:rPr>
          <w:rFonts w:hint="eastAsia" w:ascii="楷体" w:hAnsi="楷体" w:eastAsia="楷体"/>
          <w:b/>
          <w:kern w:val="0"/>
          <w:sz w:val="32"/>
          <w:szCs w:val="32"/>
        </w:rPr>
        <w:t>6</w:t>
      </w:r>
      <w:r>
        <w:rPr>
          <w:rFonts w:ascii="楷体" w:hAnsi="楷体" w:eastAsia="楷体"/>
          <w:b/>
          <w:kern w:val="0"/>
          <w:sz w:val="32"/>
          <w:szCs w:val="32"/>
        </w:rPr>
        <w:t>.深化专业</w:t>
      </w:r>
      <w:r>
        <w:rPr>
          <w:rFonts w:hint="eastAsia" w:ascii="楷体" w:hAnsi="楷体" w:eastAsia="楷体"/>
          <w:b/>
          <w:kern w:val="0"/>
          <w:sz w:val="32"/>
          <w:szCs w:val="32"/>
        </w:rPr>
        <w:t>综合</w:t>
      </w:r>
      <w:r>
        <w:rPr>
          <w:rFonts w:ascii="楷体" w:hAnsi="楷体" w:eastAsia="楷体"/>
          <w:b/>
          <w:kern w:val="0"/>
          <w:sz w:val="32"/>
          <w:szCs w:val="32"/>
        </w:rPr>
        <w:t>改革的主要</w:t>
      </w:r>
      <w:r>
        <w:rPr>
          <w:rFonts w:hint="eastAsia" w:ascii="楷体" w:hAnsi="楷体" w:eastAsia="楷体"/>
          <w:b/>
          <w:kern w:val="0"/>
          <w:sz w:val="32"/>
          <w:szCs w:val="32"/>
        </w:rPr>
        <w:t>举措和成效</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rPr>
            </w:pPr>
            <w:r>
              <w:rPr>
                <w:rFonts w:hint="eastAsia" w:ascii="仿宋" w:hAnsi="仿宋" w:eastAsia="仿宋" w:cs="Times New Roman"/>
                <w:bCs/>
              </w:rPr>
              <w:t>（限</w:t>
            </w:r>
            <w:r>
              <w:rPr>
                <w:rFonts w:ascii="仿宋" w:hAnsi="仿宋" w:eastAsia="仿宋" w:cs="Times New Roman"/>
                <w:bCs/>
              </w:rPr>
              <w:t>1000字以内</w:t>
            </w:r>
            <w:r>
              <w:rPr>
                <w:rFonts w:hint="eastAsia" w:ascii="仿宋" w:hAnsi="仿宋" w:eastAsia="仿宋" w:cs="Times New Roman"/>
                <w:bCs/>
              </w:rPr>
              <w:t>）</w:t>
            </w:r>
          </w:p>
        </w:tc>
      </w:tr>
    </w:tbl>
    <w:p>
      <w:pPr>
        <w:widowControl/>
        <w:jc w:val="left"/>
        <w:rPr>
          <w:rFonts w:ascii="楷体" w:hAnsi="楷体" w:eastAsia="楷体"/>
          <w:b/>
          <w:kern w:val="0"/>
          <w:sz w:val="32"/>
          <w:szCs w:val="32"/>
        </w:rPr>
      </w:pPr>
      <w:r>
        <w:rPr>
          <w:rFonts w:ascii="楷体" w:hAnsi="楷体" w:eastAsia="楷体"/>
          <w:b/>
          <w:kern w:val="0"/>
          <w:sz w:val="32"/>
          <w:szCs w:val="32"/>
        </w:rPr>
        <w:br w:type="page"/>
      </w:r>
      <w:r>
        <w:rPr>
          <w:rFonts w:hint="eastAsia" w:ascii="楷体" w:hAnsi="楷体" w:eastAsia="楷体"/>
          <w:b/>
          <w:kern w:val="0"/>
          <w:sz w:val="32"/>
          <w:szCs w:val="32"/>
        </w:rPr>
        <w:t>7</w:t>
      </w:r>
      <w:r>
        <w:rPr>
          <w:rFonts w:ascii="楷体" w:hAnsi="楷体" w:eastAsia="楷体"/>
          <w:b/>
          <w:kern w:val="0"/>
          <w:sz w:val="32"/>
          <w:szCs w:val="32"/>
        </w:rPr>
        <w:t>.加强师资队伍和基层教学组织建设的主要举措及成效</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rPr>
            </w:pPr>
            <w:r>
              <w:rPr>
                <w:rFonts w:hint="eastAsia" w:ascii="仿宋" w:hAnsi="仿宋" w:eastAsia="仿宋" w:cs="Times New Roman"/>
                <w:bCs/>
              </w:rPr>
              <w:t>（限</w:t>
            </w:r>
            <w:r>
              <w:rPr>
                <w:rFonts w:ascii="仿宋" w:hAnsi="仿宋" w:eastAsia="仿宋" w:cs="Times New Roman"/>
                <w:bCs/>
              </w:rPr>
              <w:t>500字以内</w:t>
            </w:r>
            <w:r>
              <w:rPr>
                <w:rFonts w:hint="eastAsia" w:ascii="仿宋" w:hAnsi="仿宋" w:eastAsia="仿宋" w:cs="Times New Roman"/>
                <w:bCs/>
              </w:rPr>
              <w:t>）</w:t>
            </w:r>
          </w:p>
        </w:tc>
      </w:tr>
    </w:tbl>
    <w:p>
      <w:pPr>
        <w:rPr>
          <w:rFonts w:ascii="楷体" w:hAnsi="楷体" w:eastAsia="楷体"/>
          <w:b/>
          <w:kern w:val="0"/>
          <w:sz w:val="32"/>
          <w:szCs w:val="32"/>
        </w:rPr>
      </w:pPr>
      <w:r>
        <w:rPr>
          <w:rFonts w:hint="eastAsia" w:ascii="楷体" w:hAnsi="楷体" w:eastAsia="楷体"/>
          <w:b/>
          <w:kern w:val="0"/>
          <w:sz w:val="32"/>
          <w:szCs w:val="32"/>
        </w:rPr>
        <w:t>8.加强专业教学质量保障体系建设的主要举措和成效</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8296" w:type="dxa"/>
          </w:tcPr>
          <w:p>
            <w:pPr>
              <w:spacing w:line="0" w:lineRule="atLeast"/>
              <w:jc w:val="left"/>
              <w:rPr>
                <w:rFonts w:ascii="方正小标宋_GBK" w:hAnsi="Times New Roman" w:eastAsia="仿宋_GB2312" w:cs="Times New Roman"/>
                <w:b/>
                <w:bCs/>
              </w:rPr>
            </w:pPr>
            <w:r>
              <w:rPr>
                <w:rFonts w:hint="eastAsia" w:ascii="仿宋" w:hAnsi="仿宋" w:eastAsia="仿宋" w:cs="Times New Roman"/>
                <w:bCs/>
              </w:rPr>
              <w:t>（限</w:t>
            </w:r>
            <w:r>
              <w:rPr>
                <w:rFonts w:ascii="仿宋" w:hAnsi="仿宋" w:eastAsia="仿宋" w:cs="Times New Roman"/>
                <w:bCs/>
              </w:rPr>
              <w:t>500字以内</w:t>
            </w:r>
            <w:r>
              <w:rPr>
                <w:rFonts w:hint="eastAsia" w:ascii="仿宋" w:hAnsi="仿宋" w:eastAsia="仿宋" w:cs="Times New Roman"/>
                <w:bCs/>
              </w:rPr>
              <w:t>）</w:t>
            </w:r>
          </w:p>
        </w:tc>
      </w:tr>
    </w:tbl>
    <w:p>
      <w:pPr>
        <w:rPr>
          <w:rFonts w:ascii="黑体" w:hAnsi="黑体" w:eastAsia="黑体" w:cs="Times New Roman"/>
          <w:sz w:val="36"/>
          <w:szCs w:val="36"/>
        </w:rPr>
      </w:pPr>
      <w:r>
        <w:rPr>
          <w:rFonts w:ascii="楷体" w:hAnsi="楷体" w:eastAsia="楷体"/>
          <w:b/>
          <w:kern w:val="0"/>
          <w:sz w:val="32"/>
          <w:szCs w:val="32"/>
        </w:rPr>
        <w:br w:type="page"/>
      </w:r>
      <w:r>
        <w:rPr>
          <w:rFonts w:hint="eastAsia" w:ascii="楷体" w:hAnsi="楷体" w:eastAsia="楷体"/>
          <w:b/>
          <w:kern w:val="0"/>
          <w:sz w:val="32"/>
          <w:szCs w:val="32"/>
        </w:rPr>
        <w:t>9</w:t>
      </w:r>
      <w:r>
        <w:rPr>
          <w:rFonts w:ascii="楷体" w:hAnsi="楷体" w:eastAsia="楷体"/>
          <w:b/>
          <w:kern w:val="0"/>
          <w:sz w:val="32"/>
          <w:szCs w:val="32"/>
        </w:rPr>
        <w:t>.毕业生培养质量的跟踪调查结果和外部评价</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8296" w:type="dxa"/>
          </w:tcPr>
          <w:p>
            <w:pPr>
              <w:spacing w:line="0" w:lineRule="atLeast"/>
              <w:jc w:val="left"/>
              <w:rPr>
                <w:rFonts w:ascii="方正小标宋_GBK" w:hAnsi="Times New Roman" w:eastAsia="仿宋_GB2312" w:cs="Times New Roman"/>
                <w:b/>
                <w:bCs/>
              </w:rPr>
            </w:pPr>
            <w:r>
              <w:rPr>
                <w:rFonts w:hint="eastAsia" w:ascii="仿宋" w:hAnsi="仿宋" w:eastAsia="仿宋" w:cs="Times New Roman"/>
                <w:bCs/>
              </w:rPr>
              <w:t>（限</w:t>
            </w:r>
            <w:r>
              <w:rPr>
                <w:rFonts w:ascii="仿宋" w:hAnsi="仿宋" w:eastAsia="仿宋" w:cs="Times New Roman"/>
                <w:bCs/>
              </w:rPr>
              <w:t>500字以内</w:t>
            </w:r>
            <w:r>
              <w:rPr>
                <w:rFonts w:hint="eastAsia" w:ascii="仿宋" w:hAnsi="仿宋" w:eastAsia="仿宋" w:cs="Times New Roman"/>
                <w:bCs/>
              </w:rPr>
              <w:t>）</w:t>
            </w:r>
          </w:p>
        </w:tc>
      </w:tr>
    </w:tbl>
    <w:p>
      <w:pPr>
        <w:rPr>
          <w:rFonts w:ascii="黑体" w:hAnsi="黑体" w:eastAsia="黑体" w:cs="Times New Roman"/>
          <w:sz w:val="36"/>
          <w:szCs w:val="36"/>
        </w:rPr>
      </w:pPr>
      <w:r>
        <w:rPr>
          <w:rFonts w:hint="eastAsia" w:ascii="黑体" w:hAnsi="黑体" w:eastAsia="黑体"/>
          <w:b/>
          <w:kern w:val="0"/>
          <w:sz w:val="32"/>
          <w:szCs w:val="32"/>
        </w:rPr>
        <w:t>三、</w:t>
      </w:r>
      <w:r>
        <w:rPr>
          <w:rFonts w:ascii="黑体" w:hAnsi="黑体" w:eastAsia="黑体"/>
          <w:b/>
          <w:kern w:val="0"/>
          <w:sz w:val="32"/>
          <w:szCs w:val="32"/>
        </w:rPr>
        <w:t>下一步推进专业建设和改革的主要思路</w:t>
      </w:r>
      <w:r>
        <w:rPr>
          <w:rFonts w:hint="eastAsia" w:ascii="黑体" w:hAnsi="黑体" w:eastAsia="黑体"/>
          <w:b/>
          <w:kern w:val="0"/>
          <w:sz w:val="32"/>
          <w:szCs w:val="32"/>
        </w:rPr>
        <w:t>及</w:t>
      </w:r>
      <w:r>
        <w:rPr>
          <w:rFonts w:ascii="黑体" w:hAnsi="黑体" w:eastAsia="黑体"/>
          <w:b/>
          <w:kern w:val="0"/>
          <w:sz w:val="32"/>
          <w:szCs w:val="32"/>
        </w:rPr>
        <w:t>举措</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9" w:hRule="atLeast"/>
        </w:trPr>
        <w:tc>
          <w:tcPr>
            <w:tcW w:w="8296" w:type="dxa"/>
          </w:tcPr>
          <w:p>
            <w:pPr>
              <w:spacing w:line="0" w:lineRule="atLeast"/>
              <w:jc w:val="left"/>
              <w:rPr>
                <w:rFonts w:ascii="方正小标宋_GBK" w:hAnsi="Times New Roman" w:eastAsia="仿宋_GB2312" w:cs="Times New Roman"/>
                <w:b/>
                <w:bCs/>
              </w:rPr>
            </w:pPr>
            <w:bookmarkStart w:id="0" w:name="_Hlk2001382"/>
            <w:r>
              <w:rPr>
                <w:rFonts w:hint="eastAsia" w:ascii="仿宋" w:hAnsi="仿宋" w:eastAsia="仿宋" w:cs="Times New Roman"/>
                <w:bCs/>
              </w:rPr>
              <w:t>（限</w:t>
            </w:r>
            <w:r>
              <w:rPr>
                <w:rFonts w:ascii="仿宋" w:hAnsi="仿宋" w:eastAsia="仿宋" w:cs="Times New Roman"/>
                <w:bCs/>
              </w:rPr>
              <w:t>800字以内</w:t>
            </w:r>
            <w:r>
              <w:rPr>
                <w:rFonts w:hint="eastAsia" w:ascii="仿宋" w:hAnsi="仿宋" w:eastAsia="仿宋" w:cs="Times New Roman"/>
                <w:bCs/>
              </w:rPr>
              <w:t>）</w:t>
            </w:r>
          </w:p>
        </w:tc>
      </w:tr>
      <w:bookmarkEnd w:id="0"/>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E33D5"/>
    <w:rsid w:val="4F1E33D5"/>
    <w:rsid w:val="5E66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2021-10-27T08:05:00Z</dcterms:created>
  <dc:creator>微笑的鱼</dc:creator>
  <cp:lastModifiedBy>微笑的鱼</cp:lastModifiedBy>
  <dcterms:modified xsi:type="dcterms:W3CDTF">2021-10-27T08:07:22Z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47AB961742774F0184345B9A1E1EA31D</vt:lpwstr>
  </property>
</Properties>
</file>